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923" w:type="dxa"/>
        <w:jc w:val="left"/>
        <w:tblInd w:w="40" w:type="dxa"/>
        <w:tblCellMar>
          <w:top w:w="0" w:type="dxa"/>
          <w:left w:w="40" w:type="dxa"/>
          <w:bottom w:w="0" w:type="dxa"/>
          <w:right w:w="40" w:type="dxa"/>
        </w:tblCellMar>
        <w:tblLook w:firstRow="0" w:noVBand="0" w:lastRow="0" w:firstColumn="0" w:lastColumn="0" w:noHBand="0" w:val="0000"/>
      </w:tblPr>
      <w:tblGrid>
        <w:gridCol w:w="566"/>
        <w:gridCol w:w="1693"/>
        <w:gridCol w:w="2702"/>
        <w:gridCol w:w="1559"/>
        <w:gridCol w:w="3402"/>
      </w:tblGrid>
      <w:tr>
        <w:trPr>
          <w:trHeight w:val="284" w:hRule="atLeast"/>
        </w:trPr>
        <w:tc>
          <w:tcPr>
            <w:tcW w:w="99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  <w:u w:val="single"/>
              </w:rPr>
              <w:t>Laser chirurgiczny CO2</w:t>
            </w:r>
          </w:p>
        </w:tc>
      </w:tr>
      <w:tr>
        <w:trPr>
          <w:trHeight w:val="284" w:hRule="atLeast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ind w:left="36" w:hanging="0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color w:val="000000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ind w:left="7" w:hanging="0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color w:val="000000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ind w:left="22" w:hanging="0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  <w:lang w:val="en-US"/>
              </w:rPr>
            </w:pPr>
            <w:r>
              <w:rPr>
                <w:rFonts w:cs="Calibri" w:cstheme="minorHAnsi" w:ascii="Calibri" w:hAnsi="Calibri"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4" w:hRule="atLeast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ind w:left="22" w:hanging="0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color w:val="000000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ind w:left="14" w:hanging="0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</w:rPr>
              <w:t>Rok produkcji:  2019</w:t>
            </w:r>
          </w:p>
        </w:tc>
        <w:tc>
          <w:tcPr>
            <w:tcW w:w="7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b/>
                <w:color w:val="000000"/>
                <w:sz w:val="24"/>
                <w:szCs w:val="24"/>
              </w:rPr>
            </w:r>
          </w:p>
        </w:tc>
      </w:tr>
      <w:tr>
        <w:trPr>
          <w:trHeight w:val="406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keepNext w:val="true"/>
              <w:numPr>
                <w:ilvl w:val="0"/>
                <w:numId w:val="0"/>
              </w:numPr>
              <w:jc w:val="center"/>
              <w:outlineLvl w:val="1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4"/>
                <w:szCs w:val="24"/>
              </w:rPr>
              <w:t>OPIS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4"/>
                <w:szCs w:val="24"/>
              </w:rPr>
              <w:t>WYMAGANE PARAMETRY              I WARUNKI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4"/>
                <w:szCs w:val="24"/>
              </w:rPr>
              <w:t>PARAMETRY OFEROWANE</w:t>
            </w:r>
          </w:p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4"/>
                <w:szCs w:val="24"/>
              </w:rPr>
              <w:t>(wypełnia wykonawca)</w:t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Laser chirurgiczny CO</w:t>
            </w: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  <w:vertAlign w:val="subscript"/>
              </w:rPr>
              <w:t>2</w:t>
            </w: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 xml:space="preserve"> ze szklaną rurą laserową pobudzaną prądem stałym.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Długość fali lasera 10,6µm.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Web"/>
              <w:spacing w:before="0" w:after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Praca lasera w trybie fali ciągłej (CW) z regulacją mocy w zakresie min. 1-40W.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Web"/>
              <w:spacing w:before="0" w:after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Praca lasera w trybie impulsowym z regulacją mocy w zakresie min. 1-40W i regulacją czasu impulsu w zakresie min. 2-30ms.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Web"/>
              <w:spacing w:before="0" w:after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Praca lasera w trybie superpulse z regulacją energii w zakresie min. 60-130mJ i regulacją czasu impulsu w zakresie min. 1-4ms.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Web"/>
              <w:spacing w:before="0" w:after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Praca lasera w trybie ultrapulse z regulacją energii w zakresie min. 10-55mJ i regulacją czasu impulsu w zakresie min. 90-900µs.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Web"/>
              <w:spacing w:before="0" w:after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Praca lasera w trybie ciągłym superpulse z regulacją mocy średniej w zakresie min. 1-15W.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1362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Web"/>
              <w:suppressAutoHyphens w:val="true"/>
              <w:spacing w:before="280" w:after="28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Możliwość ograniczenia ilości impulsów (w trybach impulsowych) emitowanych po naciśnięciu pedału sterującego. Regulacja w zakresie min. 1 – 30 impulsów.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Web"/>
              <w:suppressAutoHyphens w:val="true"/>
              <w:spacing w:before="280" w:after="28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Moc szczytowa w trybie impulsowym ultrapulse min. 300W.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Web"/>
              <w:suppressAutoHyphens w:val="true"/>
              <w:spacing w:before="280" w:after="28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Możliwość regulacji czasu między impulsami (w trybach impulsowych) w zakresie min. 2-500ms.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Web"/>
              <w:suppressAutoHyphens w:val="true"/>
              <w:spacing w:before="280" w:after="28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Pamięć do zapisywania często używanych parametrów min. 10 pozycji.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Web"/>
              <w:suppressAutoHyphens w:val="true"/>
              <w:spacing w:before="280" w:after="28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Zestaw programów do różnych zmian chorobowych min. 12 pozycji.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385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Web"/>
              <w:suppressAutoHyphens w:val="true"/>
              <w:spacing w:before="280" w:after="28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Sterowanie: kolorowy ekran dotykowy.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Zasilanie sieciowe 220-240V, 50Hz, jednofazowe.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Web"/>
              <w:suppressAutoHyphens w:val="true"/>
              <w:spacing w:before="280" w:after="28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7-przegubowe ramię lasera z balansowaniem  sprężynowym, bez przeciwwagi.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Web"/>
              <w:suppressAutoHyphens w:val="true"/>
              <w:spacing w:before="280" w:after="28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Diodowy laser pilotujący 655nm (czerwony) o mocy regulowanej do min. 5mW.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697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Web"/>
              <w:suppressAutoHyphens w:val="true"/>
              <w:spacing w:before="280" w:after="28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Uruchamianie wiązki roboczej pedałem sterującym.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60" w:after="60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Uchwyt ogniskujący o ogniskowej 50mm do chirurgii z wolnej ręki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60" w:after="60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Uchwyt ogniskujący o ogniskowej 100mm do chirurgii z wolnej ręki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60" w:after="60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 xml:space="preserve">Uchwyt ogniskujący o ogniskowej 100mm z końcówkami laryngologicznymi: </w:t>
            </w:r>
          </w:p>
          <w:p>
            <w:pPr>
              <w:pStyle w:val="ListParagraph"/>
              <w:numPr>
                <w:ilvl w:val="0"/>
                <w:numId w:val="2"/>
              </w:numPr>
              <w:spacing w:before="60" w:after="60"/>
              <w:contextualSpacing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wąską, nosową prostą</w:t>
            </w:r>
          </w:p>
          <w:p>
            <w:pPr>
              <w:pStyle w:val="ListParagraph"/>
              <w:numPr>
                <w:ilvl w:val="0"/>
                <w:numId w:val="2"/>
              </w:numPr>
              <w:spacing w:before="60" w:after="60"/>
              <w:contextualSpacing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wąską, nosową kątową</w:t>
            </w:r>
          </w:p>
          <w:p>
            <w:pPr>
              <w:pStyle w:val="ListParagraph"/>
              <w:numPr>
                <w:ilvl w:val="0"/>
                <w:numId w:val="2"/>
              </w:numPr>
              <w:spacing w:before="60" w:after="60"/>
              <w:contextualSpacing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do plastyki podniebienia z back-stop’em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60" w:after="60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Okulary ochronne do oferowanego lasera, 6 szt.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60" w:after="60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Mikromanipulator laserowy do mikroskopu ze zwierciadlanym systemem ogniskowania (bez aberracji chromatycznej); z dystansem roboczym regulowanym w zakresie min. 200-600mm; o wielkości plamki roboczej max. 0,15mm dla dystansu roboczego 400mm;  wyposażony w dźwignię umożliwiającą rozogniskowanie wiązki roboczej lasera bez zmiany dystansu roboczego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Web"/>
              <w:spacing w:before="0" w:after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Łącznik mikromanipulatora laserowego do mikroskopu Carl Zeiss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Web"/>
              <w:spacing w:before="0" w:after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System usuwania dymu z filtrem i kompletem 10 rur do odsysania, z 4-ro stopniową filtracją cząstek 0,1-0,2µm ze skutecznością 99,9995%, z sygnalizacją czasu pracy filtra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Gwarancja min. 36 m-cy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WWZawartotabeli1"/>
              <w:tabs>
                <w:tab w:val="clear" w:pos="708"/>
                <w:tab w:val="left" w:pos="1160" w:leader="none"/>
              </w:tabs>
              <w:snapToGrid w:val="false"/>
              <w:spacing w:before="0" w:after="120"/>
              <w:rPr>
                <w:rFonts w:ascii="Calibri" w:hAnsi="Calibri" w:cs="Calibri" w:asciiTheme="minorHAnsi" w:cstheme="minorHAnsi" w:hAnsiTheme="minorHAnsi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Cs w:val="24"/>
              </w:rPr>
              <w:t>W okresie gwarancji przeglądy techniczne wraz z materiałami do nich użytymi wykonywane bezpłatnie co najmniej raz w roku.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1160" w:leader="none"/>
              </w:tabs>
              <w:snapToGrid w:val="false"/>
              <w:spacing w:before="0" w:after="120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eastAsia="Tahoma" w:cs="Calibri" w:ascii="Calibri" w:hAnsi="Calibri" w:asciiTheme="minorHAnsi" w:cstheme="minorHAnsi" w:hAnsiTheme="minorHAnsi"/>
                <w:sz w:val="24"/>
                <w:szCs w:val="24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WWZawartotabeli11"/>
              <w:tabs>
                <w:tab w:val="clear" w:pos="708"/>
                <w:tab w:val="left" w:pos="1160" w:leader="none"/>
              </w:tabs>
              <w:snapToGrid w:val="false"/>
              <w:spacing w:before="0" w:after="120"/>
              <w:ind w:right="144" w:hanging="0"/>
              <w:rPr>
                <w:rFonts w:ascii="Calibri" w:hAnsi="Calibri" w:cs="Calibri" w:asciiTheme="minorHAnsi" w:cstheme="minorHAnsi" w:hAnsiTheme="minorHAnsi"/>
                <w:szCs w:val="24"/>
              </w:rPr>
            </w:pPr>
            <w:r>
              <w:rPr>
                <w:rFonts w:eastAsia="Lucida Sans Unicode" w:cs="Calibri" w:ascii="Calibri" w:hAnsi="Calibri" w:asciiTheme="minorHAnsi" w:cstheme="minorHAnsi" w:hAnsiTheme="minorHAnsi"/>
                <w:szCs w:val="24"/>
              </w:rPr>
              <w:t>Zapewniony serwis pogwarancyjny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54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WWZawartotabeli1"/>
              <w:tabs>
                <w:tab w:val="clear" w:pos="708"/>
                <w:tab w:val="left" w:pos="1160" w:leader="none"/>
              </w:tabs>
              <w:snapToGrid w:val="false"/>
              <w:spacing w:before="0" w:after="120"/>
              <w:rPr>
                <w:rFonts w:ascii="Calibri" w:hAnsi="Calibri" w:cs="Calibri" w:asciiTheme="minorHAnsi" w:cstheme="minorHAnsi" w:hAnsiTheme="minorHAnsi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Cs w:val="24"/>
              </w:rPr>
              <w:t>Okres zagwarantowania dostępności części  zamiennych minimum 10 lat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WWZawartotabeli1"/>
              <w:tabs>
                <w:tab w:val="clear" w:pos="708"/>
                <w:tab w:val="left" w:pos="1160" w:leader="none"/>
              </w:tabs>
              <w:snapToGrid w:val="false"/>
              <w:spacing w:before="0" w:after="120"/>
              <w:rPr>
                <w:rFonts w:ascii="Calibri" w:hAnsi="Calibri" w:cs="Calibri" w:asciiTheme="minorHAnsi" w:cstheme="minorHAnsi" w:hAnsiTheme="minorHAnsi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Cs w:val="24"/>
              </w:rPr>
              <w:t>Montaż, uruchomienie i szkolenie obsługi w cenie urządzenia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1160" w:leader="none"/>
              </w:tabs>
              <w:snapToGrid w:val="false"/>
              <w:ind w:left="0" w:right="144" w:hanging="0"/>
              <w:rPr>
                <w:rFonts w:ascii="Calibri" w:hAnsi="Calibri"/>
                <w:sz w:val="24"/>
                <w:szCs w:val="24"/>
              </w:rPr>
            </w:pPr>
            <w:r>
              <w:rPr>
                <w:rFonts w:cs="Calibri" w:ascii="Calibri" w:hAnsi="Calibri"/>
                <w:sz w:val="24"/>
                <w:szCs w:val="24"/>
              </w:rPr>
              <w:t>Deklaracja Zgodności, wpis lub zgłoszenie do Urzędu Rejestracji Wyrobów Medycznych.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1160" w:leader="none"/>
              </w:tabs>
              <w:snapToGrid w:val="false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 w:ascii="Calibri" w:hAnsi="Calibri"/>
                <w:sz w:val="24"/>
                <w:szCs w:val="24"/>
              </w:rPr>
              <w:t>Paszport techniczny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WWZawartotabeli1"/>
              <w:tabs>
                <w:tab w:val="clear" w:pos="708"/>
                <w:tab w:val="left" w:pos="1160" w:leader="none"/>
              </w:tabs>
              <w:snapToGrid w:val="false"/>
              <w:spacing w:before="0" w:after="120"/>
              <w:rPr>
                <w:rFonts w:ascii="Calibri" w:hAnsi="Calibri" w:cs="Calibri" w:asciiTheme="minorHAnsi" w:cstheme="minorHAnsi" w:hAnsiTheme="minorHAnsi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Cs w:val="24"/>
              </w:rPr>
              <w:t>Instrukcja obsługi w języku polskim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………………………………………………………………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>.</w:t>
      </w:r>
    </w:p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miejscowość, data</w:t>
      </w:r>
    </w:p>
    <w:p>
      <w:pPr>
        <w:pStyle w:val="Normal"/>
        <w:ind w:left="5103" w:hanging="5103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>
      <w:pPr>
        <w:pStyle w:val="Normal"/>
        <w:ind w:left="5103" w:hanging="5103"/>
        <w:rPr/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                                                                                                                    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>podpis i pieczęć wykonawc</w:t>
      </w:r>
      <w:bookmarkStart w:id="1" w:name="_Hlk506288726"/>
      <w:bookmarkEnd w:id="1"/>
      <w:r>
        <w:rPr>
          <w:rFonts w:cs="Calibri" w:ascii="Calibri" w:hAnsi="Calibri" w:asciiTheme="minorHAnsi" w:cstheme="minorHAnsi" w:hAnsiTheme="minorHAnsi"/>
          <w:sz w:val="24"/>
          <w:szCs w:val="24"/>
        </w:rPr>
        <w:t>y</w:t>
      </w:r>
    </w:p>
    <w:sectPr>
      <w:type w:val="nextPage"/>
      <w:pgSz w:w="11906" w:h="16838"/>
      <w:pgMar w:left="1080" w:right="108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Verdana">
    <w:charset w:val="ee"/>
    <w:family w:val="roman"/>
    <w:pitch w:val="variable"/>
  </w:font>
  <w:font w:name="NDKPJE+TimesNewRoman">
    <w:charset w:val="ee"/>
    <w:family w:val="roman"/>
    <w:pitch w:val="variable"/>
  </w:font>
  <w:font w:name="Calibr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5"/>
  <w:defaultTabStop w:val="708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rsid w:val="009600f0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qFormat/>
    <w:rsid w:val="009600f0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1e169d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ListLabel1">
    <w:name w:val="ListLabel 1"/>
    <w:qFormat/>
    <w:rPr>
      <w:rFonts w:eastAsia="Times New Roman" w:cs="Arial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1e169d"/>
    <w:pPr>
      <w:spacing w:before="0" w:after="120"/>
    </w:pPr>
    <w:rPr/>
  </w:style>
  <w:style w:type="paragraph" w:styleId="Lista">
    <w:name w:val="List"/>
    <w:basedOn w:val="Tretekstu"/>
    <w:pPr/>
    <w:rPr>
      <w:rFonts w:cs="Arial Unicode M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</w:rPr>
  </w:style>
  <w:style w:type="paragraph" w:styleId="Stopka">
    <w:name w:val="Footer"/>
    <w:basedOn w:val="Normal"/>
    <w:link w:val="StopkaZnak"/>
    <w:rsid w:val="009600f0"/>
    <w:pPr>
      <w:widowControl/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9600f0"/>
    <w:pPr>
      <w:widowControl/>
      <w:spacing w:before="0" w:after="0"/>
      <w:ind w:left="720" w:hanging="0"/>
      <w:contextualSpacing/>
    </w:pPr>
    <w:rPr>
      <w:rFonts w:ascii="Verdana" w:hAnsi="Verdana"/>
      <w:sz w:val="22"/>
    </w:rPr>
  </w:style>
  <w:style w:type="paragraph" w:styleId="NoSpacing">
    <w:name w:val="No Spacing"/>
    <w:basedOn w:val="Normal"/>
    <w:uiPriority w:val="1"/>
    <w:qFormat/>
    <w:rsid w:val="004c2b2d"/>
    <w:pPr>
      <w:widowControl/>
    </w:pPr>
    <w:rPr>
      <w:rFonts w:ascii="Calibri" w:hAnsi="Calibri" w:eastAsia="Calibri" w:cs="Calibri" w:eastAsiaTheme="minorHAnsi"/>
      <w:sz w:val="22"/>
      <w:szCs w:val="22"/>
    </w:rPr>
  </w:style>
  <w:style w:type="paragraph" w:styleId="NormalWeb">
    <w:name w:val="Normal (Web)"/>
    <w:basedOn w:val="Normal"/>
    <w:uiPriority w:val="99"/>
    <w:qFormat/>
    <w:rsid w:val="0006300b"/>
    <w:pPr>
      <w:suppressAutoHyphens w:val="true"/>
      <w:spacing w:before="280" w:after="280"/>
    </w:pPr>
    <w:rPr>
      <w:rFonts w:eastAsia="Lucida Sans Unicode"/>
      <w:sz w:val="24"/>
      <w:szCs w:val="24"/>
    </w:rPr>
  </w:style>
  <w:style w:type="paragraph" w:styleId="Default" w:customStyle="1">
    <w:name w:val="Default"/>
    <w:qFormat/>
    <w:rsid w:val="008b5179"/>
    <w:pPr>
      <w:widowControl/>
      <w:bidi w:val="0"/>
      <w:spacing w:lineRule="auto" w:line="240" w:before="0" w:after="0"/>
      <w:jc w:val="left"/>
    </w:pPr>
    <w:rPr>
      <w:rFonts w:ascii="NDKPJE+TimesNewRoman" w:hAnsi="NDKPJE+TimesNewRoman" w:eastAsia="Times New Roman" w:cs="NDKPJE+TimesNewRoman"/>
      <w:color w:val="000000"/>
      <w:kern w:val="0"/>
      <w:sz w:val="24"/>
      <w:szCs w:val="24"/>
      <w:lang w:eastAsia="pl-PL" w:val="pl-PL" w:bidi="ar-SA"/>
    </w:rPr>
  </w:style>
  <w:style w:type="paragraph" w:styleId="WWZawartotabeli1" w:customStyle="1">
    <w:name w:val="WW-Zawartość tabeli1"/>
    <w:basedOn w:val="Tretekstu"/>
    <w:qFormat/>
    <w:rsid w:val="001e169d"/>
    <w:pPr>
      <w:suppressLineNumbers/>
      <w:suppressAutoHyphens w:val="true"/>
    </w:pPr>
    <w:rPr>
      <w:rFonts w:eastAsia="Tahoma"/>
      <w:kern w:val="2"/>
      <w:sz w:val="24"/>
      <w:lang w:eastAsia="zh-CN"/>
    </w:rPr>
  </w:style>
  <w:style w:type="paragraph" w:styleId="WWZawartotabeli11" w:customStyle="1">
    <w:name w:val="WW-Zawartoœæ tabeli1"/>
    <w:basedOn w:val="Tretekstu"/>
    <w:qFormat/>
    <w:rsid w:val="001e169d"/>
    <w:pPr>
      <w:widowControl/>
      <w:suppressAutoHyphens w:val="true"/>
      <w:overflowPunct w:val="true"/>
      <w:textAlignment w:val="baseline"/>
    </w:pPr>
    <w:rPr>
      <w:kern w:val="2"/>
      <w:sz w:val="24"/>
      <w:lang w:eastAsia="zh-C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Application>LibreOffice/6.2.3.2$Windows_X86_64 LibreOffice_project/aecc05fe267cc68dde00352a451aa867b3b546ac</Application>
  <Pages>3</Pages>
  <Words>489</Words>
  <Characters>2901</Characters>
  <CharactersWithSpaces>3518</CharactersWithSpaces>
  <Paragraphs>117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2017-08-17T06:56:00Z</dcterms:created>
  <dc:creator/>
  <dc:description/>
  <dc:language>pl-PL</dc:language>
  <cp:lastModifiedBy/>
  <dcterms:modified xsi:type="dcterms:W3CDTF">2019-10-02T13:29:39Z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